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BD" w:rsidRDefault="00472C28">
      <w:pPr>
        <w:pBdr>
          <w:top w:val="single" w:sz="6" w:space="0" w:color="FFFFFF"/>
          <w:left w:val="single" w:sz="6" w:space="0" w:color="FFFFFF"/>
          <w:bottom w:val="single" w:sz="6" w:space="0" w:color="FFFFFF"/>
          <w:right w:val="single" w:sz="6" w:space="0" w:color="FFFFFF"/>
        </w:pBdr>
        <w:rPr>
          <w:sz w:val="24"/>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8890</wp:posOffset>
            </wp:positionV>
            <wp:extent cx="876300" cy="127635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876300" cy="1276350"/>
                    </a:xfrm>
                    <a:prstGeom prst="rect">
                      <a:avLst/>
                    </a:prstGeom>
                    <a:noFill/>
                    <a:ln w="9525">
                      <a:noFill/>
                      <a:miter lim="800000"/>
                      <a:headEnd/>
                      <a:tailEnd/>
                    </a:ln>
                  </pic:spPr>
                </pic:pic>
              </a:graphicData>
            </a:graphic>
          </wp:anchor>
        </w:drawing>
      </w:r>
      <w:r w:rsidR="00982C80">
        <w:rPr>
          <w:sz w:val="24"/>
        </w:rPr>
        <w:t xml:space="preserve">   </w:t>
      </w:r>
    </w:p>
    <w:p w:rsidR="00887EBD" w:rsidRDefault="00887EBD">
      <w:pPr>
        <w:widowControl/>
        <w:ind w:firstLine="720"/>
        <w:rPr>
          <w:b/>
          <w:bCs/>
          <w:sz w:val="28"/>
          <w:szCs w:val="28"/>
        </w:rPr>
      </w:pPr>
      <w:r>
        <w:rPr>
          <w:b/>
          <w:bCs/>
          <w:sz w:val="28"/>
          <w:szCs w:val="28"/>
        </w:rPr>
        <w:t xml:space="preserve">Little River Band of </w:t>
      </w:r>
      <w:smartTag w:uri="urn:schemas-microsoft-com:office:smarttags" w:element="place">
        <w:smartTag w:uri="urn:schemas-microsoft-com:office:smarttags" w:element="City">
          <w:r>
            <w:rPr>
              <w:b/>
              <w:bCs/>
              <w:sz w:val="28"/>
              <w:szCs w:val="28"/>
            </w:rPr>
            <w:t>Ottawa</w:t>
          </w:r>
        </w:smartTag>
      </w:smartTag>
      <w:r>
        <w:rPr>
          <w:b/>
          <w:bCs/>
          <w:sz w:val="28"/>
          <w:szCs w:val="28"/>
        </w:rPr>
        <w:t xml:space="preserve"> Indians</w:t>
      </w:r>
    </w:p>
    <w:p w:rsidR="00887EBD" w:rsidRDefault="009A4319" w:rsidP="009A4319">
      <w:pPr>
        <w:widowControl/>
        <w:ind w:firstLine="720"/>
        <w:rPr>
          <w:sz w:val="28"/>
          <w:szCs w:val="28"/>
        </w:rPr>
      </w:pPr>
      <w:r>
        <w:rPr>
          <w:sz w:val="28"/>
          <w:szCs w:val="28"/>
        </w:rPr>
        <w:t xml:space="preserve">      </w:t>
      </w:r>
      <w:r w:rsidR="00646415">
        <w:rPr>
          <w:sz w:val="28"/>
          <w:szCs w:val="28"/>
        </w:rPr>
        <w:t>2608</w:t>
      </w:r>
      <w:r>
        <w:rPr>
          <w:sz w:val="28"/>
          <w:szCs w:val="28"/>
        </w:rPr>
        <w:t xml:space="preserve"> Government Center Drive</w:t>
      </w:r>
    </w:p>
    <w:p w:rsidR="00887EBD" w:rsidRDefault="009A4319">
      <w:pPr>
        <w:widowControl/>
        <w:tabs>
          <w:tab w:val="left" w:pos="-1440"/>
        </w:tabs>
        <w:ind w:left="2652" w:hanging="2652"/>
        <w:rPr>
          <w:sz w:val="28"/>
          <w:szCs w:val="28"/>
        </w:rPr>
      </w:pPr>
      <w:r>
        <w:rPr>
          <w:sz w:val="28"/>
          <w:szCs w:val="28"/>
        </w:rPr>
        <w:t xml:space="preserve"> </w:t>
      </w:r>
      <w:r>
        <w:rPr>
          <w:sz w:val="28"/>
          <w:szCs w:val="28"/>
        </w:rPr>
        <w:tab/>
        <w:t xml:space="preserve">          </w:t>
      </w:r>
      <w:r w:rsidR="00887EBD">
        <w:rPr>
          <w:sz w:val="28"/>
          <w:szCs w:val="28"/>
        </w:rPr>
        <w:t>Manistee, MI 49660</w:t>
      </w:r>
    </w:p>
    <w:p w:rsidR="00887EBD" w:rsidRDefault="00887EBD">
      <w:pPr>
        <w:widowControl/>
        <w:ind w:firstLine="1440"/>
        <w:rPr>
          <w:sz w:val="28"/>
          <w:szCs w:val="28"/>
        </w:rPr>
      </w:pPr>
      <w:r>
        <w:rPr>
          <w:sz w:val="28"/>
          <w:szCs w:val="28"/>
        </w:rPr>
        <w:t xml:space="preserve">      </w:t>
      </w:r>
      <w:r w:rsidR="009A4319">
        <w:rPr>
          <w:sz w:val="28"/>
          <w:szCs w:val="28"/>
        </w:rPr>
        <w:t xml:space="preserve">   </w:t>
      </w:r>
      <w:r>
        <w:rPr>
          <w:sz w:val="28"/>
          <w:szCs w:val="28"/>
        </w:rPr>
        <w:t>(231) 723-8288</w:t>
      </w:r>
    </w:p>
    <w:p w:rsidR="00887EBD" w:rsidRDefault="00887EBD">
      <w:pPr>
        <w:widowControl/>
        <w:rPr>
          <w:sz w:val="28"/>
          <w:szCs w:val="28"/>
        </w:rPr>
      </w:pPr>
    </w:p>
    <w:p w:rsidR="000059DB" w:rsidRDefault="000059DB">
      <w:pPr>
        <w:widowControl/>
        <w:rPr>
          <w:sz w:val="28"/>
          <w:szCs w:val="28"/>
        </w:rPr>
      </w:pPr>
    </w:p>
    <w:p w:rsidR="00887EBD" w:rsidRDefault="0089169F">
      <w:pPr>
        <w:widowControl/>
        <w:tabs>
          <w:tab w:val="left" w:pos="0"/>
          <w:tab w:val="center" w:pos="4680"/>
          <w:tab w:val="left" w:pos="5040"/>
          <w:tab w:val="left" w:pos="5760"/>
          <w:tab w:val="left" w:pos="6480"/>
          <w:tab w:val="left" w:pos="7200"/>
          <w:tab w:val="left" w:pos="7920"/>
          <w:tab w:val="right" w:pos="8640"/>
        </w:tabs>
        <w:jc w:val="both"/>
        <w:rPr>
          <w:b/>
          <w:bCs/>
          <w:sz w:val="24"/>
        </w:rPr>
      </w:pPr>
      <w:r>
        <w:rPr>
          <w:b/>
          <w:bCs/>
          <w:sz w:val="24"/>
        </w:rPr>
        <w:t xml:space="preserve">                                                   </w:t>
      </w:r>
      <w:r w:rsidR="00887EBD">
        <w:rPr>
          <w:b/>
          <w:bCs/>
          <w:sz w:val="24"/>
        </w:rPr>
        <w:t>Resolution #</w:t>
      </w:r>
      <w:r w:rsidR="00207591">
        <w:rPr>
          <w:b/>
          <w:bCs/>
          <w:sz w:val="24"/>
        </w:rPr>
        <w:t>1</w:t>
      </w:r>
      <w:r w:rsidR="00387C12">
        <w:rPr>
          <w:b/>
          <w:bCs/>
          <w:sz w:val="24"/>
        </w:rPr>
        <w:t>7</w:t>
      </w:r>
      <w:r w:rsidR="00C93260">
        <w:rPr>
          <w:b/>
          <w:bCs/>
          <w:sz w:val="24"/>
        </w:rPr>
        <w:t>-0607-</w:t>
      </w:r>
      <w:r w:rsidR="00E96F91">
        <w:rPr>
          <w:b/>
          <w:bCs/>
          <w:sz w:val="24"/>
        </w:rPr>
        <w:t>194</w:t>
      </w:r>
    </w:p>
    <w:p w:rsidR="00267199" w:rsidRDefault="00267199" w:rsidP="001C40D8">
      <w:pPr>
        <w:jc w:val="center"/>
        <w:rPr>
          <w:i/>
          <w:sz w:val="24"/>
        </w:rPr>
      </w:pPr>
    </w:p>
    <w:p w:rsidR="00C85C94" w:rsidRPr="003B7399" w:rsidRDefault="00C85C94" w:rsidP="00C85C94">
      <w:pPr>
        <w:contextualSpacing/>
        <w:jc w:val="center"/>
        <w:rPr>
          <w:sz w:val="24"/>
        </w:rPr>
      </w:pPr>
      <w:r>
        <w:rPr>
          <w:i/>
          <w:sz w:val="24"/>
        </w:rPr>
        <w:t xml:space="preserve">Resolution to Repeal All </w:t>
      </w:r>
      <w:r w:rsidR="00387C12">
        <w:rPr>
          <w:i/>
          <w:sz w:val="24"/>
        </w:rPr>
        <w:t xml:space="preserve">Current </w:t>
      </w:r>
      <w:r>
        <w:rPr>
          <w:i/>
          <w:sz w:val="24"/>
        </w:rPr>
        <w:t>Commercial Fishing Regulations and instead in Their Place adopt all Applicable Chippewa Ottawa Resource Authority Commercial Fishing Regulations</w:t>
      </w:r>
    </w:p>
    <w:p w:rsidR="00FA20CF" w:rsidRDefault="00FA20CF" w:rsidP="001C40D8">
      <w:pPr>
        <w:jc w:val="center"/>
        <w:rPr>
          <w:i/>
          <w:sz w:val="24"/>
        </w:rPr>
      </w:pPr>
    </w:p>
    <w:p w:rsidR="00887EBD" w:rsidRDefault="00887EBD">
      <w:pPr>
        <w:ind w:left="720" w:hanging="720"/>
        <w:jc w:val="both"/>
        <w:rPr>
          <w:rFonts w:eastAsia="MS Mincho"/>
          <w:sz w:val="24"/>
        </w:rPr>
      </w:pPr>
      <w:r>
        <w:rPr>
          <w:bCs/>
          <w:sz w:val="24"/>
        </w:rPr>
        <w:t>WHEREAS, t</w:t>
      </w:r>
      <w:r>
        <w:rPr>
          <w:rFonts w:eastAsia="MS Mincho"/>
          <w:sz w:val="24"/>
        </w:rPr>
        <w:t xml:space="preserve">he status of the </w:t>
      </w:r>
      <w:r>
        <w:rPr>
          <w:i/>
          <w:iCs/>
          <w:sz w:val="24"/>
        </w:rPr>
        <w:t>Gaá Čhíng Ziíbi Daáwaa Aníšhinaábek</w:t>
      </w:r>
      <w:r>
        <w:rPr>
          <w:sz w:val="24"/>
        </w:rPr>
        <w:t xml:space="preserve"> (</w:t>
      </w:r>
      <w:r>
        <w:rPr>
          <w:rFonts w:eastAsia="MS Mincho"/>
          <w:sz w:val="24"/>
        </w:rPr>
        <w:t>Little River Band of Ottawa Indians) as a sovereign and Treaty-making power is confirmed in numerous treaties, from agreements with the initial colonial powers on this land, to various treaties with the United States; and</w:t>
      </w:r>
    </w:p>
    <w:p w:rsidR="00887EBD" w:rsidRDefault="00887EBD">
      <w:pPr>
        <w:ind w:firstLine="720"/>
        <w:jc w:val="both"/>
        <w:rPr>
          <w:rFonts w:eastAsia="MS Mincho"/>
          <w:sz w:val="24"/>
        </w:rPr>
      </w:pPr>
    </w:p>
    <w:p w:rsidR="00887EBD" w:rsidRDefault="00887EBD">
      <w:pPr>
        <w:pStyle w:val="BodyTextIndent2"/>
      </w:pPr>
      <w:r>
        <w:t xml:space="preserve">WHEREAS, the Little River Band of Ottawa Indians (Tribe) is descended from, and is the political successor to, the Grand River Ottawa Bands, signatories of the 1836 Treaty of </w:t>
      </w:r>
      <w:smartTag w:uri="urn:schemas-microsoft-com:office:smarttags" w:element="State">
        <w:r>
          <w:t>Washington</w:t>
        </w:r>
      </w:smartTag>
      <w:r>
        <w:t xml:space="preserve"> (7 Stat. 491) with the </w:t>
      </w:r>
      <w:smartTag w:uri="urn:schemas-microsoft-com:office:smarttags" w:element="country-region">
        <w:smartTag w:uri="urn:schemas-microsoft-com:office:smarttags" w:element="place">
          <w:r>
            <w:t>United States</w:t>
          </w:r>
        </w:smartTag>
      </w:smartTag>
      <w:r>
        <w:t>, as reaffirmed by federal law in P.L. 103-324, enacted in 1994; and</w:t>
      </w:r>
    </w:p>
    <w:p w:rsidR="00887EBD" w:rsidRDefault="00887EBD">
      <w:pPr>
        <w:ind w:left="720" w:hanging="720"/>
        <w:jc w:val="both"/>
        <w:rPr>
          <w:sz w:val="24"/>
        </w:rPr>
      </w:pPr>
    </w:p>
    <w:p w:rsidR="00887EBD" w:rsidRDefault="00887EBD">
      <w:pPr>
        <w:ind w:left="720" w:hanging="720"/>
        <w:jc w:val="both"/>
        <w:rPr>
          <w:sz w:val="24"/>
        </w:rPr>
      </w:pPr>
      <w:r>
        <w:rPr>
          <w:sz w:val="24"/>
        </w:rPr>
        <w:t>WHEREAS, the Tribe adopted a new Constitution, pursuant to a vote of the membership on May 27, 1998, which Constitution became effective upon its approval by the Assistant Secretary-Indian Affairs on July 10, 1998; and</w:t>
      </w:r>
    </w:p>
    <w:p w:rsidR="00887EBD" w:rsidRDefault="00887EBD">
      <w:pPr>
        <w:jc w:val="both"/>
        <w:rPr>
          <w:sz w:val="24"/>
        </w:rPr>
      </w:pPr>
    </w:p>
    <w:p w:rsidR="00887EBD" w:rsidRDefault="00887EBD">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rsidR="000A2B70" w:rsidRDefault="000A2B70">
      <w:pPr>
        <w:pStyle w:val="BodyTextIndent2"/>
        <w:tabs>
          <w:tab w:val="clear" w:pos="-720"/>
        </w:tabs>
        <w:suppressAutoHyphens w:val="0"/>
        <w:autoSpaceDE w:val="0"/>
        <w:autoSpaceDN w:val="0"/>
        <w:adjustRightInd w:val="0"/>
      </w:pPr>
    </w:p>
    <w:p w:rsidR="000A2B70" w:rsidRDefault="000A2B70">
      <w:pPr>
        <w:pStyle w:val="BodyTextIndent2"/>
        <w:tabs>
          <w:tab w:val="clear" w:pos="-720"/>
        </w:tabs>
        <w:suppressAutoHyphens w:val="0"/>
        <w:autoSpaceDE w:val="0"/>
        <w:autoSpaceDN w:val="0"/>
        <w:adjustRightInd w:val="0"/>
        <w:rPr>
          <w:spacing w:val="0"/>
        </w:rPr>
      </w:pPr>
      <w:r>
        <w:t>WHEREAS, the Tribe adopted amendments to the Constitution on July 11, 2016 which became effective upon approval by the Assistant Secretary-Indian Affairs on August 24, 2016; and</w:t>
      </w:r>
    </w:p>
    <w:p w:rsidR="00887EBD" w:rsidRDefault="00887EBD">
      <w:pPr>
        <w:jc w:val="both"/>
        <w:rPr>
          <w:sz w:val="24"/>
        </w:rPr>
      </w:pPr>
    </w:p>
    <w:p w:rsidR="00C85C94" w:rsidRDefault="00C85C94" w:rsidP="00C85C94">
      <w:pPr>
        <w:ind w:left="720" w:hanging="720"/>
        <w:contextualSpacing/>
        <w:jc w:val="both"/>
        <w:rPr>
          <w:sz w:val="24"/>
        </w:rPr>
      </w:pPr>
      <w:r>
        <w:rPr>
          <w:sz w:val="24"/>
        </w:rPr>
        <w:t>WHEREAS, the Tribal Council is authorized under Article IV, Section 7(a) of the Constitution to provide for the public health, peace, morals, education and general welfare of the Little River Band and its members; and</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r>
        <w:rPr>
          <w:sz w:val="24"/>
        </w:rPr>
        <w:t>WHEREAS, the Tribal Council is authorized under Article IV, Section 9(f) of the Constitution to create by ordinance regulatory commissions and to delegate to those commission the power to manage the affairs of the Little River Band; and</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r>
        <w:rPr>
          <w:sz w:val="24"/>
        </w:rPr>
        <w:t>WHEREAS, the Tribal Council did by Ordinance #06-500-01 create the Natural Resource Commission to be a regulatory body and delegated to that Commission the power to oversee and regulate the use of the natural resources within its jurisdiction; and</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p>
    <w:p w:rsidR="00C93260" w:rsidRDefault="00C93260" w:rsidP="00C93260">
      <w:pPr>
        <w:contextualSpacing/>
        <w:jc w:val="both"/>
        <w:rPr>
          <w:sz w:val="24"/>
        </w:rPr>
      </w:pPr>
      <w:r>
        <w:rPr>
          <w:sz w:val="24"/>
        </w:rPr>
        <w:lastRenderedPageBreak/>
        <w:t>Resolution #17-0607-</w:t>
      </w:r>
      <w:r w:rsidR="00E96F91">
        <w:rPr>
          <w:sz w:val="24"/>
        </w:rPr>
        <w:t>194</w:t>
      </w:r>
    </w:p>
    <w:p w:rsidR="00C93260" w:rsidRDefault="00C93260" w:rsidP="00C93260">
      <w:pPr>
        <w:contextualSpacing/>
        <w:jc w:val="both"/>
        <w:rPr>
          <w:sz w:val="24"/>
        </w:rPr>
      </w:pPr>
      <w:r>
        <w:rPr>
          <w:sz w:val="24"/>
        </w:rPr>
        <w:t>Page 2 of 3</w:t>
      </w:r>
    </w:p>
    <w:p w:rsidR="00C93260" w:rsidRDefault="00C93260" w:rsidP="00C93260">
      <w:pPr>
        <w:contextualSpacing/>
        <w:jc w:val="both"/>
        <w:rPr>
          <w:sz w:val="24"/>
        </w:rPr>
      </w:pPr>
    </w:p>
    <w:p w:rsidR="00C85C94" w:rsidRDefault="00C85C94" w:rsidP="00C85C94">
      <w:pPr>
        <w:ind w:left="720" w:hanging="720"/>
        <w:contextualSpacing/>
        <w:jc w:val="both"/>
        <w:rPr>
          <w:sz w:val="24"/>
        </w:rPr>
      </w:pPr>
      <w:r>
        <w:rPr>
          <w:sz w:val="24"/>
        </w:rPr>
        <w:t>WHEREAS, the Little River Band is party to a consent decree entered by the Federal District Court for the Western District of Michigan in docket no. 2:73 CV 26 on August 8, 2000; and</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r>
        <w:rPr>
          <w:sz w:val="24"/>
        </w:rPr>
        <w:t>WHEREAS, the Little River Band is party to a consent decree entered by the Federal District Court for the Western District of Michigan in docket no. 2:73 CV 26 on November 2, 2007; and</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r>
        <w:rPr>
          <w:sz w:val="24"/>
        </w:rPr>
        <w:t>WHEREAS, the Little River Band is required to comply with all regulations listed in the 2000 and 2007 consent decrees; and</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r>
        <w:rPr>
          <w:sz w:val="24"/>
        </w:rPr>
        <w:t>WHEREAS, the Little River Band and all of its Tribal members are required to comply with all regulations adopted by the Chippewa Ottawa Resource Authority (CORA) Executive Board, which include regulations regulating commercial and other fishing in the 1836 territory; and</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r>
        <w:rPr>
          <w:sz w:val="24"/>
        </w:rPr>
        <w:t xml:space="preserve">WHEREAS, the Tribal Council and the Natural Resource Commission have adopted various regulations defining and limiting the commercial fishing rights of its Tribal members; and </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r>
        <w:rPr>
          <w:sz w:val="24"/>
        </w:rPr>
        <w:t>WHEREAS, the Natural Resource Commission, via resolution found, that many of these regulations are duplicative to required CORA regulations or unnecessarily limit Tribal members fishing rights; and</w:t>
      </w:r>
    </w:p>
    <w:p w:rsidR="00C85C94" w:rsidRDefault="00C85C94" w:rsidP="00C85C94">
      <w:pPr>
        <w:ind w:left="720" w:hanging="720"/>
        <w:contextualSpacing/>
        <w:jc w:val="both"/>
        <w:rPr>
          <w:sz w:val="24"/>
        </w:rPr>
      </w:pPr>
    </w:p>
    <w:p w:rsidR="00C85C94" w:rsidRDefault="00C85C94" w:rsidP="00C85C94">
      <w:pPr>
        <w:ind w:left="720" w:hanging="720"/>
        <w:contextualSpacing/>
        <w:jc w:val="both"/>
        <w:rPr>
          <w:sz w:val="24"/>
        </w:rPr>
      </w:pPr>
      <w:r>
        <w:rPr>
          <w:sz w:val="24"/>
        </w:rPr>
        <w:t>WHEREAS, the Tribal Council seeks to simplify and streamline regulations governing the commercial fishing of its Tribal members; and</w:t>
      </w:r>
    </w:p>
    <w:p w:rsidR="00C85C94" w:rsidRDefault="00C85C94" w:rsidP="00C85C94">
      <w:pPr>
        <w:ind w:left="720" w:hanging="720"/>
        <w:contextualSpacing/>
        <w:jc w:val="both"/>
        <w:rPr>
          <w:sz w:val="24"/>
        </w:rPr>
      </w:pPr>
    </w:p>
    <w:p w:rsidR="00C801E1" w:rsidRDefault="00C85C94" w:rsidP="00C85C94">
      <w:pPr>
        <w:ind w:left="720" w:hanging="720"/>
        <w:contextualSpacing/>
        <w:jc w:val="both"/>
        <w:rPr>
          <w:sz w:val="24"/>
        </w:rPr>
      </w:pPr>
      <w:r>
        <w:rPr>
          <w:sz w:val="24"/>
        </w:rPr>
        <w:t>WHEREAS, the Tribal Council believes that the most efficient way to simplify and streamline regulations applicable to its Tribal members engaged in commercial fishing in 1836 territory is to repeal all current tribal regulations and allow for the enforcement of CORA</w:t>
      </w:r>
      <w:r w:rsidR="00C801E1">
        <w:rPr>
          <w:sz w:val="24"/>
        </w:rPr>
        <w:t xml:space="preserve"> commercial fishing regulations; and </w:t>
      </w:r>
    </w:p>
    <w:p w:rsidR="00C801E1" w:rsidRDefault="00C801E1" w:rsidP="00C85C94">
      <w:pPr>
        <w:ind w:left="720" w:hanging="720"/>
        <w:contextualSpacing/>
        <w:jc w:val="both"/>
        <w:rPr>
          <w:sz w:val="24"/>
        </w:rPr>
      </w:pPr>
    </w:p>
    <w:p w:rsidR="00C801E1" w:rsidRDefault="00C801E1" w:rsidP="00C85C94">
      <w:pPr>
        <w:ind w:left="720" w:hanging="720"/>
        <w:contextualSpacing/>
        <w:jc w:val="both"/>
        <w:rPr>
          <w:sz w:val="24"/>
        </w:rPr>
      </w:pPr>
      <w:r>
        <w:rPr>
          <w:sz w:val="24"/>
        </w:rPr>
        <w:t>WHEREAS, the intent of this resolution is only to repeal current commercial fishing regulations. This resolution does not address other current regulations.</w:t>
      </w:r>
    </w:p>
    <w:p w:rsidR="00C85C94" w:rsidRDefault="00C85C94" w:rsidP="00C85C94">
      <w:pPr>
        <w:ind w:left="720" w:hanging="720"/>
        <w:contextualSpacing/>
        <w:jc w:val="both"/>
        <w:rPr>
          <w:sz w:val="24"/>
        </w:rPr>
      </w:pPr>
    </w:p>
    <w:p w:rsidR="00C85C94" w:rsidRDefault="00C85C94" w:rsidP="00C85C94">
      <w:pPr>
        <w:contextualSpacing/>
        <w:jc w:val="both"/>
        <w:rPr>
          <w:sz w:val="24"/>
        </w:rPr>
      </w:pPr>
      <w:r>
        <w:rPr>
          <w:sz w:val="24"/>
        </w:rPr>
        <w:t>NOW THEREFORE IT IS RESOLVED that the Tribal Council repeals all previously adopted commercial fishing regulations now current; and</w:t>
      </w:r>
    </w:p>
    <w:p w:rsidR="00C85C94" w:rsidRDefault="00C85C94" w:rsidP="00C85C94">
      <w:pPr>
        <w:contextualSpacing/>
        <w:jc w:val="both"/>
        <w:rPr>
          <w:sz w:val="24"/>
        </w:rPr>
      </w:pPr>
    </w:p>
    <w:p w:rsidR="00C85C94" w:rsidRDefault="00C85C94" w:rsidP="00C85C94">
      <w:pPr>
        <w:contextualSpacing/>
        <w:jc w:val="both"/>
        <w:rPr>
          <w:sz w:val="24"/>
        </w:rPr>
      </w:pPr>
      <w:r>
        <w:rPr>
          <w:sz w:val="24"/>
        </w:rPr>
        <w:t>IT IS FURTHER RESOLVED that the Tribal Council affirms the applicability and enforceability of all CORA regulations related to commercial fishing on its Tribal members engaged in commercial fishing in the 1836 territory.</w:t>
      </w:r>
    </w:p>
    <w:p w:rsidR="001A1169" w:rsidRDefault="001A1169" w:rsidP="00C85C94">
      <w:pPr>
        <w:contextualSpacing/>
        <w:jc w:val="both"/>
        <w:rPr>
          <w:sz w:val="24"/>
        </w:rPr>
      </w:pPr>
    </w:p>
    <w:p w:rsidR="00C85C94" w:rsidRDefault="001A1169" w:rsidP="00C85C94">
      <w:pPr>
        <w:contextualSpacing/>
        <w:jc w:val="both"/>
        <w:rPr>
          <w:sz w:val="24"/>
        </w:rPr>
      </w:pPr>
      <w:r>
        <w:rPr>
          <w:sz w:val="24"/>
        </w:rPr>
        <w:t xml:space="preserve">IT IS FURTHER RESOLVED that Tribal Council acknowledges that CORA may in the future adopt amendments to their fishing regulations in accordance with their internal regulations. Such amendments do not require further approval of this Tribal Council but rather they </w:t>
      </w:r>
      <w:r w:rsidR="0095157F">
        <w:rPr>
          <w:sz w:val="24"/>
        </w:rPr>
        <w:t>shall</w:t>
      </w:r>
      <w:r>
        <w:rPr>
          <w:sz w:val="24"/>
        </w:rPr>
        <w:t xml:space="preserve"> have immediate effect. </w:t>
      </w:r>
    </w:p>
    <w:p w:rsidR="00C85C94" w:rsidRDefault="00C85C94" w:rsidP="00C85C94">
      <w:pPr>
        <w:contextualSpacing/>
        <w:jc w:val="both"/>
        <w:rPr>
          <w:sz w:val="24"/>
        </w:rPr>
      </w:pPr>
    </w:p>
    <w:p w:rsidR="00C85C94" w:rsidRDefault="00C93260" w:rsidP="00C85C94">
      <w:pPr>
        <w:contextualSpacing/>
        <w:jc w:val="both"/>
        <w:rPr>
          <w:sz w:val="24"/>
        </w:rPr>
      </w:pPr>
      <w:r>
        <w:rPr>
          <w:sz w:val="24"/>
        </w:rPr>
        <w:lastRenderedPageBreak/>
        <w:t>Resolution #17-0607-</w:t>
      </w:r>
      <w:r w:rsidR="00E96F91">
        <w:rPr>
          <w:sz w:val="24"/>
        </w:rPr>
        <w:t>194</w:t>
      </w:r>
    </w:p>
    <w:p w:rsidR="00C93260" w:rsidRDefault="00C93260" w:rsidP="00C85C94">
      <w:pPr>
        <w:contextualSpacing/>
        <w:jc w:val="both"/>
        <w:rPr>
          <w:sz w:val="24"/>
        </w:rPr>
      </w:pPr>
      <w:r>
        <w:rPr>
          <w:sz w:val="24"/>
        </w:rPr>
        <w:t>Page 3 of 3</w:t>
      </w:r>
    </w:p>
    <w:p w:rsidR="00C85C94" w:rsidRDefault="00C85C94" w:rsidP="00C85C94">
      <w:pPr>
        <w:contextualSpacing/>
        <w:jc w:val="both"/>
        <w:rPr>
          <w:sz w:val="24"/>
        </w:rPr>
      </w:pPr>
    </w:p>
    <w:p w:rsidR="00C85C94" w:rsidRDefault="00C85C94" w:rsidP="00C85C94">
      <w:pPr>
        <w:contextualSpacing/>
        <w:jc w:val="both"/>
        <w:rPr>
          <w:sz w:val="24"/>
        </w:rPr>
      </w:pPr>
    </w:p>
    <w:p w:rsidR="00887EBD" w:rsidRDefault="00887EBD" w:rsidP="00E065C0">
      <w:pPr>
        <w:widowControl/>
        <w:tabs>
          <w:tab w:val="center" w:pos="4320"/>
          <w:tab w:val="left" w:pos="5040"/>
          <w:tab w:val="left" w:pos="5760"/>
          <w:tab w:val="left" w:pos="6480"/>
          <w:tab w:val="left" w:pos="7200"/>
          <w:tab w:val="left" w:pos="7920"/>
          <w:tab w:val="right" w:pos="8640"/>
        </w:tabs>
        <w:jc w:val="center"/>
        <w:rPr>
          <w:sz w:val="24"/>
        </w:rPr>
      </w:pPr>
      <w:r>
        <w:rPr>
          <w:b/>
          <w:bCs/>
          <w:sz w:val="24"/>
          <w:u w:val="single"/>
        </w:rPr>
        <w:t>CERTIFICATE OF ADOPTION</w:t>
      </w:r>
    </w:p>
    <w:p w:rsidR="00887EBD" w:rsidRDefault="00887E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rPr>
      </w:pPr>
    </w:p>
    <w:p w:rsidR="00887EBD" w:rsidRDefault="00887EBD">
      <w:pPr>
        <w:pStyle w:val="BodyTextIndent"/>
      </w:pPr>
      <w:r>
        <w:t xml:space="preserve">I do hereby certify that the foregoing resolution was duly presented and adopted by the Tribal Council with </w:t>
      </w:r>
      <w:r w:rsidR="00E96F91">
        <w:t>8</w:t>
      </w:r>
      <w:r>
        <w:t xml:space="preserve"> FOR, </w:t>
      </w:r>
      <w:r w:rsidR="00E96F91">
        <w:t>0</w:t>
      </w:r>
      <w:r>
        <w:t xml:space="preserve"> AGAINST, </w:t>
      </w:r>
      <w:r w:rsidR="00E96F91">
        <w:t>0</w:t>
      </w:r>
      <w:r>
        <w:t xml:space="preserve"> ABSTAINING,</w:t>
      </w:r>
      <w:r w:rsidR="00CA1043">
        <w:t xml:space="preserve"> and</w:t>
      </w:r>
      <w:r>
        <w:t xml:space="preserve"> </w:t>
      </w:r>
      <w:r w:rsidR="00E96F91">
        <w:t>1</w:t>
      </w:r>
      <w:bookmarkStart w:id="0" w:name="_GoBack"/>
      <w:bookmarkEnd w:id="0"/>
      <w:r>
        <w:t xml:space="preserve"> ABSENT, at a Regular </w:t>
      </w:r>
      <w:r w:rsidR="00E065C0">
        <w:t xml:space="preserve">Open </w:t>
      </w:r>
      <w:r>
        <w:t>Session</w:t>
      </w:r>
      <w:r w:rsidR="006E335D">
        <w:t xml:space="preserve"> Meeting</w:t>
      </w:r>
      <w:r>
        <w:t xml:space="preserve"> of the Little River Band of Ottawa Indians Tribal Council held on</w:t>
      </w:r>
      <w:r w:rsidR="00C122F1">
        <w:t xml:space="preserve"> </w:t>
      </w:r>
      <w:r w:rsidR="00C93260">
        <w:t>June 7, 2017</w:t>
      </w:r>
      <w:r>
        <w:t xml:space="preserve">, at the Little River Band’s </w:t>
      </w:r>
      <w:r w:rsidR="0089169F">
        <w:t>Government Center</w:t>
      </w:r>
      <w:r>
        <w:t xml:space="preserve"> in Manistee, Michigan, with a quorum being present for such vote.</w:t>
      </w:r>
    </w:p>
    <w:p w:rsidR="0089169F" w:rsidRDefault="008916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rPr>
          <w:sz w:val="24"/>
        </w:rPr>
      </w:pPr>
    </w:p>
    <w:p w:rsidR="00C93260" w:rsidRDefault="00C9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rPr>
          <w:sz w:val="24"/>
        </w:rPr>
      </w:pPr>
    </w:p>
    <w:p w:rsidR="0089169F" w:rsidRDefault="008916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rPr>
          <w:sz w:val="24"/>
        </w:rPr>
      </w:pPr>
    </w:p>
    <w:p w:rsidR="00887EBD" w:rsidRDefault="00887E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rPr>
          <w:sz w:val="24"/>
        </w:rPr>
      </w:pPr>
      <w:r>
        <w:rPr>
          <w:sz w:val="24"/>
        </w:rPr>
        <w:t xml:space="preserve">           ____________________________________</w:t>
      </w:r>
    </w:p>
    <w:p w:rsidR="00887EBD" w:rsidRDefault="00C85C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rPr>
          <w:sz w:val="24"/>
        </w:rPr>
      </w:pPr>
      <w:r>
        <w:rPr>
          <w:sz w:val="24"/>
        </w:rPr>
        <w:t>Sand</w:t>
      </w:r>
      <w:r w:rsidR="00C93260">
        <w:rPr>
          <w:sz w:val="24"/>
        </w:rPr>
        <w:t>ra</w:t>
      </w:r>
      <w:r>
        <w:rPr>
          <w:sz w:val="24"/>
        </w:rPr>
        <w:t xml:space="preserve"> Lewis</w:t>
      </w:r>
      <w:r w:rsidR="00887EBD">
        <w:rPr>
          <w:sz w:val="24"/>
        </w:rPr>
        <w:t xml:space="preserve">, </w:t>
      </w:r>
      <w:r w:rsidR="0089169F">
        <w:rPr>
          <w:sz w:val="24"/>
        </w:rPr>
        <w:t xml:space="preserve">Tribal </w:t>
      </w:r>
      <w:r w:rsidR="00887EBD">
        <w:rPr>
          <w:sz w:val="24"/>
        </w:rPr>
        <w:t>Council Recorder</w:t>
      </w:r>
    </w:p>
    <w:p w:rsidR="00887EBD" w:rsidRDefault="00887E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rPr>
          <w:sz w:val="24"/>
        </w:rPr>
      </w:pPr>
    </w:p>
    <w:p w:rsidR="00887EBD" w:rsidRDefault="00887E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rPr>
          <w:sz w:val="24"/>
        </w:rPr>
      </w:pPr>
      <w:r>
        <w:rPr>
          <w:sz w:val="24"/>
        </w:rPr>
        <w:t xml:space="preserve">                                    ___________________________________</w:t>
      </w:r>
    </w:p>
    <w:p w:rsidR="00887EBD" w:rsidRDefault="00887EBD" w:rsidP="00C85C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right"/>
        <w:rPr>
          <w:sz w:val="24"/>
        </w:rPr>
      </w:pPr>
      <w:r>
        <w:rPr>
          <w:sz w:val="24"/>
        </w:rPr>
        <w:tab/>
      </w:r>
      <w:r>
        <w:rPr>
          <w:sz w:val="24"/>
        </w:rPr>
        <w:tab/>
        <w:t xml:space="preserve">     </w:t>
      </w:r>
      <w:r>
        <w:rPr>
          <w:sz w:val="24"/>
        </w:rPr>
        <w:tab/>
        <w:t xml:space="preserve"> </w:t>
      </w:r>
      <w:r>
        <w:rPr>
          <w:sz w:val="24"/>
        </w:rPr>
        <w:tab/>
      </w:r>
      <w:r>
        <w:rPr>
          <w:sz w:val="24"/>
        </w:rPr>
        <w:tab/>
      </w:r>
      <w:r w:rsidR="00C85C94">
        <w:rPr>
          <w:sz w:val="24"/>
        </w:rPr>
        <w:t>Joseph Riley II</w:t>
      </w:r>
      <w:r>
        <w:rPr>
          <w:sz w:val="24"/>
        </w:rPr>
        <w:t xml:space="preserve">, </w:t>
      </w:r>
      <w:r w:rsidR="0089169F">
        <w:rPr>
          <w:sz w:val="24"/>
        </w:rPr>
        <w:t xml:space="preserve">Tribal </w:t>
      </w:r>
      <w:r>
        <w:rPr>
          <w:sz w:val="24"/>
        </w:rPr>
        <w:t>Council Speaker</w:t>
      </w:r>
    </w:p>
    <w:p w:rsidR="00C93260" w:rsidRDefault="00C93260" w:rsidP="00C9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rPr>
      </w:pPr>
      <w:r>
        <w:rPr>
          <w:sz w:val="24"/>
        </w:rPr>
        <w:t>Attest:</w:t>
      </w:r>
    </w:p>
    <w:p w:rsidR="00D747E7" w:rsidRDefault="00D747E7" w:rsidP="008916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sz w:val="28"/>
          <w:szCs w:val="28"/>
        </w:rPr>
      </w:pPr>
    </w:p>
    <w:p w:rsidR="00887EBD" w:rsidRDefault="00C9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Distribution:</w:t>
      </w:r>
      <w:r>
        <w:rPr>
          <w:sz w:val="18"/>
          <w:szCs w:val="18"/>
        </w:rPr>
        <w:tab/>
      </w:r>
      <w:r w:rsidR="00887EBD">
        <w:rPr>
          <w:sz w:val="18"/>
          <w:szCs w:val="18"/>
        </w:rPr>
        <w:t>Council Records</w:t>
      </w:r>
    </w:p>
    <w:p w:rsidR="00C93260" w:rsidRDefault="00887E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C93260">
        <w:rPr>
          <w:sz w:val="18"/>
          <w:szCs w:val="18"/>
        </w:rPr>
        <w:tab/>
      </w:r>
      <w:r>
        <w:rPr>
          <w:sz w:val="18"/>
          <w:szCs w:val="18"/>
        </w:rPr>
        <w:t>Tribal Ogema</w:t>
      </w:r>
    </w:p>
    <w:p w:rsidR="00281519" w:rsidRDefault="00C93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t>Natural Resource Commission</w:t>
      </w:r>
      <w:r w:rsidR="00887EBD">
        <w:rPr>
          <w:sz w:val="18"/>
          <w:szCs w:val="18"/>
        </w:rPr>
        <w:t xml:space="preserve"> </w:t>
      </w:r>
      <w:r w:rsidR="00715D4A">
        <w:rPr>
          <w:sz w:val="18"/>
          <w:szCs w:val="18"/>
        </w:rPr>
        <w:t xml:space="preserve">  </w:t>
      </w:r>
    </w:p>
    <w:p w:rsidR="00281519" w:rsidRDefault="002815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t xml:space="preserve">     </w:t>
      </w:r>
      <w:r w:rsidR="00C93260">
        <w:rPr>
          <w:sz w:val="18"/>
          <w:szCs w:val="18"/>
        </w:rPr>
        <w:tab/>
      </w:r>
      <w:r>
        <w:rPr>
          <w:sz w:val="18"/>
          <w:szCs w:val="18"/>
        </w:rPr>
        <w:t>Natural Resources Department</w:t>
      </w:r>
    </w:p>
    <w:p w:rsidR="00C85C94" w:rsidRDefault="002815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t xml:space="preserve">     </w:t>
      </w:r>
      <w:r w:rsidR="00C93260">
        <w:rPr>
          <w:sz w:val="18"/>
          <w:szCs w:val="18"/>
        </w:rPr>
        <w:tab/>
      </w:r>
      <w:r>
        <w:rPr>
          <w:sz w:val="18"/>
          <w:szCs w:val="18"/>
        </w:rPr>
        <w:t>Department of Public Safety</w:t>
      </w:r>
    </w:p>
    <w:p w:rsidR="00887EBD" w:rsidRDefault="00C85C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sidR="00DF1FEF">
        <w:rPr>
          <w:sz w:val="18"/>
          <w:szCs w:val="18"/>
        </w:rPr>
        <w:tab/>
        <w:t xml:space="preserve"> </w:t>
      </w:r>
    </w:p>
    <w:sectPr w:rsidR="00887EBD" w:rsidSect="006708B5">
      <w:endnotePr>
        <w:numFmt w:val="decimal"/>
      </w:endnotePr>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0BB" w:rsidRDefault="001070BB">
      <w:r>
        <w:separator/>
      </w:r>
    </w:p>
  </w:endnote>
  <w:endnote w:type="continuationSeparator" w:id="0">
    <w:p w:rsidR="001070BB" w:rsidRDefault="0010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0BB" w:rsidRDefault="001070BB">
      <w:r>
        <w:separator/>
      </w:r>
    </w:p>
  </w:footnote>
  <w:footnote w:type="continuationSeparator" w:id="0">
    <w:p w:rsidR="001070BB" w:rsidRDefault="0010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441"/>
    <w:multiLevelType w:val="hybridMultilevel"/>
    <w:tmpl w:val="6CE2A87C"/>
    <w:lvl w:ilvl="0" w:tplc="17B8768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43"/>
    <w:rsid w:val="000031DE"/>
    <w:rsid w:val="000059DB"/>
    <w:rsid w:val="000136AE"/>
    <w:rsid w:val="00022F94"/>
    <w:rsid w:val="00027D74"/>
    <w:rsid w:val="00040243"/>
    <w:rsid w:val="00064B28"/>
    <w:rsid w:val="000868C0"/>
    <w:rsid w:val="0009160A"/>
    <w:rsid w:val="000A2B70"/>
    <w:rsid w:val="000B19CF"/>
    <w:rsid w:val="000B45B7"/>
    <w:rsid w:val="000D2AAB"/>
    <w:rsid w:val="000E5E5E"/>
    <w:rsid w:val="000F43BA"/>
    <w:rsid w:val="00100536"/>
    <w:rsid w:val="00102921"/>
    <w:rsid w:val="001070BB"/>
    <w:rsid w:val="00113E66"/>
    <w:rsid w:val="001412A5"/>
    <w:rsid w:val="001468C8"/>
    <w:rsid w:val="001633FF"/>
    <w:rsid w:val="001638C7"/>
    <w:rsid w:val="00164CC5"/>
    <w:rsid w:val="001747DD"/>
    <w:rsid w:val="00181CCA"/>
    <w:rsid w:val="001A1169"/>
    <w:rsid w:val="001B0B2C"/>
    <w:rsid w:val="001C40D8"/>
    <w:rsid w:val="001D195A"/>
    <w:rsid w:val="001D28C1"/>
    <w:rsid w:val="001E7212"/>
    <w:rsid w:val="00207591"/>
    <w:rsid w:val="0021242A"/>
    <w:rsid w:val="00215B78"/>
    <w:rsid w:val="00236329"/>
    <w:rsid w:val="00242EEC"/>
    <w:rsid w:val="00267199"/>
    <w:rsid w:val="00267401"/>
    <w:rsid w:val="00281519"/>
    <w:rsid w:val="002A0B85"/>
    <w:rsid w:val="002C7870"/>
    <w:rsid w:val="002F2C05"/>
    <w:rsid w:val="002F641B"/>
    <w:rsid w:val="0030557C"/>
    <w:rsid w:val="00331EFA"/>
    <w:rsid w:val="00337967"/>
    <w:rsid w:val="00344A8A"/>
    <w:rsid w:val="00366B6B"/>
    <w:rsid w:val="00387C12"/>
    <w:rsid w:val="00395673"/>
    <w:rsid w:val="003A23E4"/>
    <w:rsid w:val="003C3C3B"/>
    <w:rsid w:val="003D28A6"/>
    <w:rsid w:val="003D6819"/>
    <w:rsid w:val="003E407F"/>
    <w:rsid w:val="003F001D"/>
    <w:rsid w:val="003F49AD"/>
    <w:rsid w:val="00402D57"/>
    <w:rsid w:val="00405FBC"/>
    <w:rsid w:val="00442E91"/>
    <w:rsid w:val="0045137D"/>
    <w:rsid w:val="00472C28"/>
    <w:rsid w:val="00475F05"/>
    <w:rsid w:val="00496B34"/>
    <w:rsid w:val="004A5363"/>
    <w:rsid w:val="004A6E3D"/>
    <w:rsid w:val="004D2D71"/>
    <w:rsid w:val="004E740E"/>
    <w:rsid w:val="00500447"/>
    <w:rsid w:val="00500A16"/>
    <w:rsid w:val="00513A26"/>
    <w:rsid w:val="005215EB"/>
    <w:rsid w:val="005245F4"/>
    <w:rsid w:val="00544127"/>
    <w:rsid w:val="00551299"/>
    <w:rsid w:val="00552E5E"/>
    <w:rsid w:val="00573B4B"/>
    <w:rsid w:val="00594E29"/>
    <w:rsid w:val="005B1CB5"/>
    <w:rsid w:val="005B71C1"/>
    <w:rsid w:val="005B7FF8"/>
    <w:rsid w:val="005C01E4"/>
    <w:rsid w:val="005E0710"/>
    <w:rsid w:val="005E2213"/>
    <w:rsid w:val="00602326"/>
    <w:rsid w:val="00613D39"/>
    <w:rsid w:val="00646415"/>
    <w:rsid w:val="00646AD5"/>
    <w:rsid w:val="006708B5"/>
    <w:rsid w:val="006712E4"/>
    <w:rsid w:val="00677296"/>
    <w:rsid w:val="00686FCF"/>
    <w:rsid w:val="00692846"/>
    <w:rsid w:val="006A67D6"/>
    <w:rsid w:val="006B0625"/>
    <w:rsid w:val="006B6B8A"/>
    <w:rsid w:val="006C2E1D"/>
    <w:rsid w:val="006C5348"/>
    <w:rsid w:val="006D0588"/>
    <w:rsid w:val="006D2338"/>
    <w:rsid w:val="006E335D"/>
    <w:rsid w:val="00714708"/>
    <w:rsid w:val="00715D4A"/>
    <w:rsid w:val="00717D66"/>
    <w:rsid w:val="00746E60"/>
    <w:rsid w:val="00750993"/>
    <w:rsid w:val="00760D7E"/>
    <w:rsid w:val="007A35BF"/>
    <w:rsid w:val="00803B34"/>
    <w:rsid w:val="00805527"/>
    <w:rsid w:val="00812B9F"/>
    <w:rsid w:val="0082504D"/>
    <w:rsid w:val="00841912"/>
    <w:rsid w:val="0085684D"/>
    <w:rsid w:val="008869FF"/>
    <w:rsid w:val="00886FF7"/>
    <w:rsid w:val="00887EBD"/>
    <w:rsid w:val="0089169F"/>
    <w:rsid w:val="00893B9D"/>
    <w:rsid w:val="008B07DC"/>
    <w:rsid w:val="008B3E34"/>
    <w:rsid w:val="00927D91"/>
    <w:rsid w:val="00940351"/>
    <w:rsid w:val="0095157F"/>
    <w:rsid w:val="0098232A"/>
    <w:rsid w:val="00982C80"/>
    <w:rsid w:val="00994691"/>
    <w:rsid w:val="009A4319"/>
    <w:rsid w:val="009B1C3B"/>
    <w:rsid w:val="009B4DF4"/>
    <w:rsid w:val="009C14EA"/>
    <w:rsid w:val="009D6209"/>
    <w:rsid w:val="009F2B31"/>
    <w:rsid w:val="009F3CB3"/>
    <w:rsid w:val="00A06D3A"/>
    <w:rsid w:val="00A10923"/>
    <w:rsid w:val="00A11E2C"/>
    <w:rsid w:val="00A125CC"/>
    <w:rsid w:val="00A14AFD"/>
    <w:rsid w:val="00A173E4"/>
    <w:rsid w:val="00A631FC"/>
    <w:rsid w:val="00A713BE"/>
    <w:rsid w:val="00A916AA"/>
    <w:rsid w:val="00AC15AC"/>
    <w:rsid w:val="00AD1EE2"/>
    <w:rsid w:val="00AF572B"/>
    <w:rsid w:val="00B63180"/>
    <w:rsid w:val="00B710B2"/>
    <w:rsid w:val="00B745B2"/>
    <w:rsid w:val="00B91C95"/>
    <w:rsid w:val="00B939F8"/>
    <w:rsid w:val="00B94E61"/>
    <w:rsid w:val="00BA34C1"/>
    <w:rsid w:val="00BA764C"/>
    <w:rsid w:val="00BC704D"/>
    <w:rsid w:val="00BD0E2A"/>
    <w:rsid w:val="00BD6B44"/>
    <w:rsid w:val="00BD6C90"/>
    <w:rsid w:val="00C03020"/>
    <w:rsid w:val="00C0480F"/>
    <w:rsid w:val="00C122F1"/>
    <w:rsid w:val="00C12BDA"/>
    <w:rsid w:val="00C26877"/>
    <w:rsid w:val="00C27172"/>
    <w:rsid w:val="00C34866"/>
    <w:rsid w:val="00C423E9"/>
    <w:rsid w:val="00C55C87"/>
    <w:rsid w:val="00C56215"/>
    <w:rsid w:val="00C62BD0"/>
    <w:rsid w:val="00C66BE4"/>
    <w:rsid w:val="00C7040F"/>
    <w:rsid w:val="00C801E1"/>
    <w:rsid w:val="00C84131"/>
    <w:rsid w:val="00C85C94"/>
    <w:rsid w:val="00C93260"/>
    <w:rsid w:val="00CA1043"/>
    <w:rsid w:val="00CA7ADC"/>
    <w:rsid w:val="00CD1911"/>
    <w:rsid w:val="00D50AB2"/>
    <w:rsid w:val="00D67126"/>
    <w:rsid w:val="00D747E7"/>
    <w:rsid w:val="00DA3D0D"/>
    <w:rsid w:val="00DA6D1F"/>
    <w:rsid w:val="00DB5D1E"/>
    <w:rsid w:val="00DF1FEF"/>
    <w:rsid w:val="00DF3834"/>
    <w:rsid w:val="00E0202B"/>
    <w:rsid w:val="00E065C0"/>
    <w:rsid w:val="00E400AC"/>
    <w:rsid w:val="00E41685"/>
    <w:rsid w:val="00E44799"/>
    <w:rsid w:val="00E44E8E"/>
    <w:rsid w:val="00E56E2F"/>
    <w:rsid w:val="00E66A54"/>
    <w:rsid w:val="00E71575"/>
    <w:rsid w:val="00E850E1"/>
    <w:rsid w:val="00E96F91"/>
    <w:rsid w:val="00EA53CA"/>
    <w:rsid w:val="00EC185B"/>
    <w:rsid w:val="00EE7BA3"/>
    <w:rsid w:val="00F05B7B"/>
    <w:rsid w:val="00F07D60"/>
    <w:rsid w:val="00F1285E"/>
    <w:rsid w:val="00F16360"/>
    <w:rsid w:val="00F16C8B"/>
    <w:rsid w:val="00F54F73"/>
    <w:rsid w:val="00F707E1"/>
    <w:rsid w:val="00F76DD2"/>
    <w:rsid w:val="00F91F40"/>
    <w:rsid w:val="00F94869"/>
    <w:rsid w:val="00FA20CF"/>
    <w:rsid w:val="00FC3A5F"/>
    <w:rsid w:val="00FC451C"/>
    <w:rsid w:val="00FC6054"/>
    <w:rsid w:val="00FF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FDDB920E-5B05-45F7-8294-55A91AA3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B5"/>
    <w:pPr>
      <w:widowControl w:val="0"/>
      <w:autoSpaceDE w:val="0"/>
      <w:autoSpaceDN w:val="0"/>
      <w:adjustRightInd w:val="0"/>
    </w:pPr>
    <w:rPr>
      <w:szCs w:val="24"/>
    </w:rPr>
  </w:style>
  <w:style w:type="paragraph" w:styleId="Heading1">
    <w:name w:val="heading 1"/>
    <w:basedOn w:val="Normal"/>
    <w:next w:val="Normal"/>
    <w:qFormat/>
    <w:rsid w:val="006708B5"/>
    <w:pPr>
      <w:tabs>
        <w:tab w:val="left" w:pos="0"/>
        <w:tab w:val="center" w:pos="4680"/>
        <w:tab w:val="left" w:pos="5040"/>
        <w:tab w:val="left" w:pos="5760"/>
        <w:tab w:val="left" w:pos="6480"/>
        <w:tab w:val="left" w:pos="7200"/>
        <w:tab w:val="left" w:pos="7920"/>
        <w:tab w:val="right" w:pos="8640"/>
      </w:tabs>
      <w:jc w:val="center"/>
      <w:outlineLvl w:val="0"/>
    </w:pPr>
    <w:rPr>
      <w:rFonts w:ascii="Arial" w:hAnsi="Arial" w:cs="Arial"/>
      <w:b/>
      <w:bCs/>
      <w:sz w:val="24"/>
    </w:rPr>
  </w:style>
  <w:style w:type="paragraph" w:styleId="Heading2">
    <w:name w:val="heading 2"/>
    <w:basedOn w:val="Normal"/>
    <w:next w:val="Normal"/>
    <w:qFormat/>
    <w:rsid w:val="006708B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1"/>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708B5"/>
  </w:style>
  <w:style w:type="paragraph" w:styleId="Footer">
    <w:name w:val="footer"/>
    <w:basedOn w:val="Normal"/>
    <w:rsid w:val="006708B5"/>
    <w:pPr>
      <w:tabs>
        <w:tab w:val="left" w:pos="0"/>
        <w:tab w:val="center" w:pos="4320"/>
        <w:tab w:val="right" w:pos="8640"/>
      </w:tabs>
    </w:pPr>
  </w:style>
  <w:style w:type="paragraph" w:styleId="BodyTextIndent">
    <w:name w:val="Body Text Indent"/>
    <w:basedOn w:val="Normal"/>
    <w:rsid w:val="006708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both"/>
    </w:pPr>
    <w:rPr>
      <w:sz w:val="24"/>
    </w:rPr>
  </w:style>
  <w:style w:type="paragraph" w:styleId="Header">
    <w:name w:val="header"/>
    <w:basedOn w:val="Normal"/>
    <w:rsid w:val="006708B5"/>
    <w:pPr>
      <w:tabs>
        <w:tab w:val="center" w:pos="4320"/>
        <w:tab w:val="right" w:pos="8640"/>
      </w:tabs>
    </w:pPr>
  </w:style>
  <w:style w:type="paragraph" w:styleId="BodyText">
    <w:name w:val="Body Text"/>
    <w:basedOn w:val="Normal"/>
    <w:rsid w:val="006708B5"/>
    <w:pPr>
      <w:widowControl/>
      <w:autoSpaceDE/>
      <w:autoSpaceDN/>
      <w:adjustRightInd/>
      <w:jc w:val="both"/>
    </w:pPr>
    <w:rPr>
      <w:rFonts w:ascii="Arial" w:hAnsi="Arial" w:cs="Arial"/>
      <w:sz w:val="22"/>
    </w:rPr>
  </w:style>
  <w:style w:type="paragraph" w:styleId="BodyTextIndent2">
    <w:name w:val="Body Text Indent 2"/>
    <w:basedOn w:val="Normal"/>
    <w:rsid w:val="006708B5"/>
    <w:pPr>
      <w:widowControl/>
      <w:tabs>
        <w:tab w:val="left" w:pos="-720"/>
      </w:tabs>
      <w:suppressAutoHyphens/>
      <w:autoSpaceDE/>
      <w:autoSpaceDN/>
      <w:adjustRightInd/>
      <w:ind w:left="720" w:hanging="720"/>
      <w:jc w:val="both"/>
    </w:pPr>
    <w:rPr>
      <w:spacing w:val="-3"/>
      <w:sz w:val="24"/>
    </w:rPr>
  </w:style>
  <w:style w:type="character" w:styleId="CommentReference">
    <w:name w:val="annotation reference"/>
    <w:basedOn w:val="DefaultParagraphFont"/>
    <w:rsid w:val="009F2B31"/>
    <w:rPr>
      <w:sz w:val="16"/>
      <w:szCs w:val="16"/>
    </w:rPr>
  </w:style>
  <w:style w:type="paragraph" w:styleId="CommentText">
    <w:name w:val="annotation text"/>
    <w:basedOn w:val="Normal"/>
    <w:link w:val="CommentTextChar"/>
    <w:rsid w:val="009F2B31"/>
    <w:rPr>
      <w:szCs w:val="20"/>
    </w:rPr>
  </w:style>
  <w:style w:type="character" w:customStyle="1" w:styleId="CommentTextChar">
    <w:name w:val="Comment Text Char"/>
    <w:basedOn w:val="DefaultParagraphFont"/>
    <w:link w:val="CommentText"/>
    <w:rsid w:val="009F2B31"/>
  </w:style>
  <w:style w:type="paragraph" w:styleId="CommentSubject">
    <w:name w:val="annotation subject"/>
    <w:basedOn w:val="CommentText"/>
    <w:next w:val="CommentText"/>
    <w:link w:val="CommentSubjectChar"/>
    <w:rsid w:val="009F2B31"/>
    <w:rPr>
      <w:b/>
      <w:bCs/>
    </w:rPr>
  </w:style>
  <w:style w:type="character" w:customStyle="1" w:styleId="CommentSubjectChar">
    <w:name w:val="Comment Subject Char"/>
    <w:basedOn w:val="CommentTextChar"/>
    <w:link w:val="CommentSubject"/>
    <w:rsid w:val="009F2B31"/>
    <w:rPr>
      <w:b/>
      <w:bCs/>
    </w:rPr>
  </w:style>
  <w:style w:type="paragraph" w:styleId="BalloonText">
    <w:name w:val="Balloon Text"/>
    <w:basedOn w:val="Normal"/>
    <w:link w:val="BalloonTextChar"/>
    <w:rsid w:val="009F2B31"/>
    <w:rPr>
      <w:rFonts w:ascii="Tahoma" w:hAnsi="Tahoma" w:cs="Tahoma"/>
      <w:sz w:val="16"/>
      <w:szCs w:val="16"/>
    </w:rPr>
  </w:style>
  <w:style w:type="character" w:customStyle="1" w:styleId="BalloonTextChar">
    <w:name w:val="Balloon Text Char"/>
    <w:basedOn w:val="DefaultParagraphFont"/>
    <w:link w:val="BalloonText"/>
    <w:rsid w:val="009F2B31"/>
    <w:rPr>
      <w:rFonts w:ascii="Tahoma" w:hAnsi="Tahoma" w:cs="Tahoma"/>
      <w:sz w:val="16"/>
      <w:szCs w:val="16"/>
    </w:rPr>
  </w:style>
  <w:style w:type="paragraph" w:styleId="ListParagraph">
    <w:name w:val="List Paragraph"/>
    <w:basedOn w:val="Normal"/>
    <w:uiPriority w:val="99"/>
    <w:qFormat/>
    <w:rsid w:val="005E0710"/>
    <w:pPr>
      <w:widowControl/>
      <w:autoSpaceDE/>
      <w:autoSpaceDN/>
      <w:adjustRightInd/>
      <w:ind w:left="720"/>
      <w:contextualSpacing/>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0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809</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Liebing</dc:creator>
  <cp:lastModifiedBy>Grace Hendler</cp:lastModifiedBy>
  <cp:revision>3</cp:revision>
  <cp:lastPrinted>2017-05-26T19:34:00Z</cp:lastPrinted>
  <dcterms:created xsi:type="dcterms:W3CDTF">2017-06-01T13:26:00Z</dcterms:created>
  <dcterms:modified xsi:type="dcterms:W3CDTF">2017-06-07T15:49:00Z</dcterms:modified>
</cp:coreProperties>
</file>